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59264" behindDoc="0" locked="0" layoutInCell="1" allowOverlap="1" wp14:anchorId="1FD3DE87" wp14:editId="1E0CB4E4">
            <wp:simplePos x="0" y="0"/>
            <wp:positionH relativeFrom="margin">
              <wp:posOffset>169545</wp:posOffset>
            </wp:positionH>
            <wp:positionV relativeFrom="margin">
              <wp:posOffset>-113030</wp:posOffset>
            </wp:positionV>
            <wp:extent cx="5734050" cy="771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Grupi Parlamentar i Partisë Demokratike</w:t>
      </w:r>
    </w:p>
    <w:p w:rsidR="000C4335" w:rsidRPr="00E15E70" w:rsidRDefault="000C4335" w:rsidP="008172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Tiranë, më 20/01/2026</w:t>
      </w:r>
    </w:p>
    <w:p w:rsidR="000C4335" w:rsidRPr="00E15E70" w:rsidRDefault="000C4335" w:rsidP="008172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0C4335" w:rsidRPr="00E15E70" w:rsidRDefault="000C4335" w:rsidP="00817237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Lënda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Mbi 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konstatimin e 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mbarimit të statusit të magjistratit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gjyqtare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 xml:space="preserve">e posacme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znj. Irena Gjoka</w:t>
      </w:r>
    </w:p>
    <w:p w:rsidR="000C4335" w:rsidRPr="00E15E70" w:rsidRDefault="000C4335" w:rsidP="00817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Drejtuar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:        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Z. </w:t>
      </w:r>
      <w:r w:rsidR="008A6A67" w:rsidRPr="00E15E70">
        <w:rPr>
          <w:rFonts w:ascii="Times New Roman" w:hAnsi="Times New Roman" w:cs="Times New Roman"/>
          <w:b/>
          <w:sz w:val="24"/>
          <w:szCs w:val="24"/>
          <w:lang w:val="sq-AL"/>
        </w:rPr>
        <w:t>Ilir RUSI</w:t>
      </w:r>
      <w:bookmarkStart w:id="0" w:name="_GoBack"/>
      <w:bookmarkEnd w:id="0"/>
    </w:p>
    <w:p w:rsidR="000C4335" w:rsidRPr="00E15E70" w:rsidRDefault="008A6A67" w:rsidP="008172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Kryetar i Këshillit të Lartë Gjyqësor</w:t>
      </w:r>
    </w:p>
    <w:p w:rsidR="008A6A67" w:rsidRPr="00E15E70" w:rsidRDefault="008A6A67" w:rsidP="00817237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17237" w:rsidRDefault="008A6A67" w:rsidP="008172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Z. Artur METANI</w:t>
      </w:r>
    </w:p>
    <w:p w:rsidR="008A6A67" w:rsidRPr="00817237" w:rsidRDefault="008A6A67" w:rsidP="008172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Inspektor i Lartë i Drejtësisë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C4335" w:rsidRPr="00817237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17237">
        <w:rPr>
          <w:rFonts w:ascii="Times New Roman" w:hAnsi="Times New Roman" w:cs="Times New Roman"/>
          <w:i/>
          <w:sz w:val="24"/>
          <w:szCs w:val="24"/>
          <w:lang w:val="sq-AL"/>
        </w:rPr>
        <w:t xml:space="preserve">I nderuar z. </w:t>
      </w:r>
      <w:r w:rsidR="008A6A67" w:rsidRPr="00817237">
        <w:rPr>
          <w:rFonts w:ascii="Times New Roman" w:hAnsi="Times New Roman" w:cs="Times New Roman"/>
          <w:i/>
          <w:sz w:val="24"/>
          <w:szCs w:val="24"/>
          <w:lang w:val="sq-AL"/>
        </w:rPr>
        <w:t>Kryetar</w:t>
      </w:r>
      <w:r w:rsidRPr="00817237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</w:p>
    <w:p w:rsidR="008A6A67" w:rsidRPr="00817237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17237">
        <w:rPr>
          <w:rFonts w:ascii="Times New Roman" w:hAnsi="Times New Roman" w:cs="Times New Roman"/>
          <w:i/>
          <w:sz w:val="24"/>
          <w:szCs w:val="24"/>
          <w:lang w:val="sq-AL"/>
        </w:rPr>
        <w:t>I nderuar z. Inspektor</w:t>
      </w:r>
      <w:r w:rsidR="0081723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 Lartë i Drejtëisë</w:t>
      </w:r>
      <w:r w:rsidRPr="00817237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Me shumë shqetësim jemi njohur me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një situatë të paprecedent në sistemin e drejtësisë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që cenon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parimin kushtetues të “</w:t>
      </w:r>
      <w:r w:rsidR="000C4335" w:rsidRPr="00E15E70">
        <w:rPr>
          <w:rFonts w:ascii="Times New Roman" w:hAnsi="Times New Roman" w:cs="Times New Roman"/>
          <w:i/>
          <w:sz w:val="24"/>
          <w:szCs w:val="24"/>
          <w:lang w:val="sq-AL"/>
        </w:rPr>
        <w:t>gjykatës së caktuar me ligj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>”.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>Prej kohësh në media është bërë i njohur rasti i fshehjes së dënimit nga autoritetet greke nga ana e gjyqtares së Gjykatës së Posacme të Shkallës së Parë kundër Korrupsionit dhe Krimit të Organizuar znj. Irena Gjoka. Sipas këtij denoncimi mediatik</w:t>
      </w:r>
      <w:r w:rsidR="000C4335" w:rsidRPr="00E15E70"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1"/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>, znj. Gjoka ka qenë e debuar dy herë nga Greqia dhe është dënuar po në shtetin Grek nga një gjykatë penale për kryerjen e veprës penale të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fal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sifikimit të dokumenteve. 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Konkretisht, në media janë bërë publike këto dokumente:</w:t>
      </w:r>
    </w:p>
    <w:p w:rsidR="000C4335" w:rsidRPr="00E15E70" w:rsidRDefault="000C4335" w:rsidP="008172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Urdhër dëbimi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nga policia greke, datë 24.12.2002, për tentativë hyrjeje në territorin grek me vizë të falsifikuar. Dokumente zyrtare të Ministrisë për Mbrojtjen e Qytetarit, Policia Greke, datë 14 gusht 2025, Prot. Nr. 1623/25/1741610, vërtetojnë se ndaj saj u hap një dosje penale për veprën penale të falsifikimit, bazuar në nenin 216 të Kodit Penal Grek, si dhe se pasaporta e saj u sekuestrua.</w:t>
      </w:r>
    </w:p>
    <w:p w:rsidR="000C4335" w:rsidRPr="00E15E70" w:rsidRDefault="000C4335" w:rsidP="008172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Urdhër dëbimi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nr. 7/13-2-2003, nga policia greke, datë 13.02.2003. Znj. Gjoka Maneku i kundërshtoi të dy urdhrat e dëbimit në Gjykatën Administrative të Shkallës së Parë të Athinës. Kërkesa e saj u rrëzua me vendimin nr. 320/2006, datë 03.06.2006.</w:t>
      </w:r>
    </w:p>
    <w:p w:rsidR="000C4335" w:rsidRPr="00E15E70" w:rsidRDefault="000C4335" w:rsidP="008172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Vendim penal i Gjykatës së Shkallës së Parë të Janinës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Greqi, nr. 1447/2005, datë 7 korrik 2005, për veprën penale të falsifikimit, duke e dënuar me tre muaj burgim dhe 1 500 euro gjobë (më pas e konvertuar në gjobë), si dhe duke urdhëruar shkatërrimin e pasaportës së sekuestruar që përmbante vizën e falsifikuar.</w:t>
      </w: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E15E70">
        <w:rPr>
          <w:lang w:val="sq-AL"/>
        </w:rPr>
        <w:t>Pavarësisht se këto fakte u bënë publike nga media, rezulton se znj. Gjoka nuk i ka deklaruar ato zyrtarisht pranë autoriteteve përkatëse, siç kërkohet nga ligji, pasi kjo do të çonte në përfundimin e mandatit të saj si gjyqtare, sipas nenit 6/1 të Kushtetutës, ligjit nr. 95/2016 dhe ligjit nr. 96/2016. Për të shmangur përfundimin e mandatit të saj si gjyqtare, ajo nuk i deklaroi këto fakte as në formularët zyrtarë të parashikuar nga ligji për dekriminalizimin, nr. 138/2015</w:t>
      </w:r>
      <w:r w:rsidR="008A6A67" w:rsidRPr="00E15E70">
        <w:rPr>
          <w:lang w:val="sq-AL"/>
        </w:rPr>
        <w:t xml:space="preserve"> apo në formularin e kandidmit si gjyqtare në Gjykatën e Posacme sipas ligjit nr. 95/2016</w:t>
      </w:r>
      <w:r w:rsidRPr="00E15E70">
        <w:rPr>
          <w:lang w:val="sq-AL"/>
        </w:rPr>
        <w:t>. Mosdeklarimi i informacionit të kërkuar në këta formularë përbën një vepër penale më vete sipas ligjit.</w:t>
      </w: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E15E70">
        <w:rPr>
          <w:lang w:val="sq-AL"/>
        </w:rPr>
        <w:t>Më datë 20 Janar 2026, Prokurori i Përgjithshëm, në zbatim të kompetencës që i njeh ligji nr. 138/2015, deklaroi se dokumentet e publikuara në media janë autentike dhe njoftoi publikisht se:</w:t>
      </w: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i/>
          <w:lang w:val="sq-AL"/>
        </w:rPr>
      </w:pPr>
      <w:r w:rsidRPr="00E15E70">
        <w:rPr>
          <w:i/>
          <w:lang w:val="sq-AL"/>
        </w:rPr>
        <w:t xml:space="preserve">           “Mbi bazën e kërkesës së Komisionit të Zhvillimit të Karrierës në Këshillin e Lartë Gjyqësor, më datë 08.05.2024 në Sektorin e Dekriminalizimit të Prokurorisë së Përgjitshme është regjistruar me nr. 40 procesi per verifikimin e thelluar të deklarimeve të bëra në Formularin e Vetëdeklarimit date 22.04.2016, për subjektin Irena Gjoka (Shpata, Maneku), gjyqtare në Gjykatën e Posaçme Kundër Korrupsionit dhe Krimit të Organizuar. Pas kryerjes së të gjitha verifikimeve të mundshme brenda dhe jashtë vendit, më datë 19.01.2026, Prokuroria e Përgjithshme ka vendosur miratimin e rezultateve të verifikimit, vendim të cilin po këtë datë ja ka përcjellë Këshillit të Lartë Gjyqësor si organ përgjegjës për verifikimin e kushteve të ndalimit në zbatim të ligjit nr.138/2015 “Për garantimin e integritetit të personave që zgjidhen, emërohen ose ushtrojnë funksione publike”, dhe Vendimit të Kuvendit nr.17/2016 “Për përcaktimin e rregullave të detajuara mbi zbatimin e ndalimeve të parashikuara në ligjin nr.138/2015 “Për garantimin e integritetit të personave që zgjidhen, emërohen ose ushtrojnë funksione publike”.”.</w:t>
      </w:r>
    </w:p>
    <w:p w:rsidR="000C4335" w:rsidRPr="00E15E70" w:rsidRDefault="000C4335" w:rsidP="00817237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Në këtë mënyrë, përmes këtij konfirmimi të autoriteteve përgjegjëse rezulton se gjyqtarja Irena Gjoka, ndodhet në kushtet e papajtueshmërisë me funksionin kushtetues të gjyqtarit, në kuptim të nenit 6/1 të Kushtetutës, ligjit nr. 95/2016 dhe ligjit nr. 96/2016, si dhe ka fallsifikuar aktet, duke kryer një tjetër krim, në mënyrë të përsëritur, për shkak të mosdeklarimit të urdhër dëbimeve dhe vendimit gjyqësor të dënimit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penal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8A6A67" w:rsidRPr="00E15E70">
        <w:rPr>
          <w:rFonts w:ascii="Times New Roman" w:hAnsi="Times New Roman" w:cs="Times New Roman"/>
          <w:b/>
          <w:sz w:val="24"/>
          <w:szCs w:val="24"/>
          <w:lang w:val="sq-AL"/>
        </w:rPr>
        <w:t>Ky fakt ka krijuar një gjendje paligjshmërie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A6A67"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antikushtetutshm</w:t>
      </w:r>
      <w:r w:rsidR="007D4BDB" w:rsidRPr="00E15E7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rie 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sistemin gjyqësor. </w:t>
      </w:r>
    </w:p>
    <w:p w:rsidR="008A6A67" w:rsidRPr="00E15E70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D4BDB" w:rsidRPr="00E15E70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nenin 6/1 t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Kushtetut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 parashikohet se: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Ndalohet zgjedhja, emërimi apo ushtrimi i një funksioni publik në një nga organet e parashikuara në këtë Kushtetutë, ose të krijuara me ligj, pavarësisht përcaktimeve të bëra në dispozitat e tjera të kësaj Kushtetute, nëse verifikohen rrethana që cenojnë integritetin e funksionarit publik, sipas kushteve dhe rregullave të përcaktuara me ligj të miratuar me tri të pestat e të gjithë anëtarëve të Kuvendit.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”. 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Ndërkohë që neni 136/a i Kushtetutës sanksionon se: “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1. Gjyqtarë mund të jenë shtetasit shqiptarë që emërohen nga Këshilli i Lartë Gjyqësor, pas përfundimit të Shkollës së Magjistraturës dhe </w:t>
      </w:r>
      <w:r w:rsidR="007D4BDB"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pas kryerjes së procesit të verifikimit paraprak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pasurisë dhe </w:t>
      </w:r>
      <w:r w:rsidR="007D4BDB"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të figurës së tyre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="007D4BDB"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sipas ligjit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2. </w:t>
      </w:r>
      <w:r w:rsidR="007D4BDB"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Kritere të tjera për përzgjedhjen dhe emërimin e gjyqtarëve parashikohen me ligj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="007D4BDB"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”. </w:t>
      </w:r>
    </w:p>
    <w:p w:rsidR="007D4BDB" w:rsidRPr="00E15E70" w:rsidRDefault="007D4BDB" w:rsidP="00817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:rsidR="008A6A67" w:rsidRPr="00E15E70" w:rsidRDefault="007D4BDB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Dënimi me vendim gjyqësor të formës së prerë për kryerjen e një krimi parashikohet nga Kushtetuta si rrethanë që dikton automatikisht shkarkimin e gjyqtarit nga detyra. Konkretisht, neni 140 i Kushtetutës parshikon se: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2. Gjyqtari shkarkohet nga Këshilli i Lartë Gjyqësor kur: b) është dënuar me vendim të formës së prerë për kryerjen e një krimi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”. </w:t>
      </w:r>
    </w:p>
    <w:p w:rsidR="008A6A67" w:rsidRPr="00E15E70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A6A67" w:rsidRPr="00E15E70" w:rsidRDefault="00426DF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Neni 47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i ligjit nr. 96/2026, parashikon se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: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3. Për të gjitha pozicionet n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gjykatat e posacme, magjistrati duhet të përmbushë edhe kriteret e tjera dhe kushtet e sigurisë, të parashikuara në ligjin “Për organizimin dhe funksionimin e institucioneve për të luftuar korrupsionin dhe krimin e organizuar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”.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nenin 6 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ligjit nr. 95/2016, parashikohet shprehimisht se “1</w:t>
      </w:r>
      <w:r w:rsidR="008A6A67" w:rsidRPr="00E15E70">
        <w:rPr>
          <w:rFonts w:ascii="Times New Roman" w:hAnsi="Times New Roman" w:cs="Times New Roman"/>
          <w:i/>
          <w:sz w:val="24"/>
          <w:szCs w:val="24"/>
          <w:lang w:val="sq-AL"/>
        </w:rPr>
        <w:t>. Kandidati për gjyqtar në gjykatat e posaçme kundër korrupsionit dhe krimit të organizuar, duhet të plotësojë kushtet e sigurisë përpara se të caktohet apo punësohet në një nga këto pozicione. Asnjë kandidat nuk mund të caktohet në detyrë ose të punësohet pa plotësuar këto kushte. Kushtet e sigurisë para caktimit në detyrë ose emërimit janë: a) kontrolli i verifikimit të figurës. 3. Kandidati plotëson deklaratën e kontrollit të figurës, sipas shtojcës A, të këtij ligji, dhe e dorëzon atë tek institucionet e emërtesës.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”. N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n 6, 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Shtojc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par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ligj, p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rfshihet edhe pyetja “Ç” - </w:t>
      </w:r>
      <w:r w:rsidR="008A6A67" w:rsidRPr="00817237">
        <w:rPr>
          <w:rFonts w:ascii="Times New Roman" w:hAnsi="Times New Roman" w:cs="Times New Roman"/>
          <w:b/>
          <w:i/>
          <w:sz w:val="24"/>
          <w:szCs w:val="24"/>
          <w:lang w:val="sq-AL"/>
        </w:rPr>
        <w:t>A keni qenë ndonjëherë i ndaluar, i arrestuar, i dënuar për shkelje ligjore brenda ose jashtë shtetit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? Kjo pyetje ka nj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lidhje 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drejtp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rdrejt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me p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rmbushjen e kritereve 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lastRenderedPageBreak/>
        <w:t>kushtetuese dhe ligjore p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r ushtrimin e funksionit kushtetues 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gjyqtarit t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8A6A67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s, edhe n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kuptim 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neneve 6/1, 136/a dhe 140 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Kushtetut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>s, si dhe kritereve ligjore 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parashikuara n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D4BDB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ligjin nr. 96/2016. </w:t>
      </w:r>
    </w:p>
    <w:p w:rsidR="008A6A67" w:rsidRPr="00E15E70" w:rsidRDefault="008A6A67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26DF6" w:rsidRPr="00E15E70" w:rsidRDefault="00426DF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Ky ligj përcakton si kriter për të ushtruar detyrën e gjyqtarit edhe mosqenien e tij i dënuar me vendim gjyqësor të formës së prerë dhe se konstatimi i një fakti të tillë pas emërimit passjell mbarimin e statusit të magjistratit. Konkretisht,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neni 64 i ligjit nr. 96/2026 parashikon se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1. Statusi i magjistratit mbaron në rastet kur: b)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vërtetohen kushtet e pazgjedhshmërisë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të papajtueshmërisë në ushtrimin e funksionit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”. Nd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neni 66 i po t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jtit ligj sanksionon se: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1. Statusi i magjistratit mbaron në ditën kur autoriteti kompetent përcakton me vendim shkaqet e pazgjedhshmërisë si vijon: a) kur magjistrati nuk plotëson kriteret e përcaktuara,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sipas nenit 28 të këtij ligji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4.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 deklaron me vendim mbarimin e statusit të magjistratit, jo më vonë se 2 javë nga marrja e njoftimit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për shkakun e 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pazgjedhshmërisë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ose papajtueshmërisë.”.</w:t>
      </w:r>
    </w:p>
    <w:p w:rsidR="00426DF6" w:rsidRPr="00E15E70" w:rsidRDefault="00426DF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A6A67" w:rsidRPr="00E15E70" w:rsidRDefault="00426DF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Neni 28 i ligjit nr. 96/2016, heq cdo dyshim që një gjyqtar i dënuar me vendim gjyqësor të formës së prerë të ushtrojë funksionin. Në mëyrë specifike kjo dispozitë përcakton si kriter për emërimin gjyqtar, sa më poshtë: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d) </w:t>
      </w:r>
      <w:r w:rsidRPr="00E15E70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nuk është dënuar me vendim penal të formës së prerë për kryerjen e një vepre penale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, që, për shkak të natyrës së veprës së kryer, diskrediton pozitën dhe figurën e gjyqtarit ose prokurorit ose dëmton rëndë besimin e publikut në sistemin gjyqësor, pavarësisht nëse është rehabilituar sipas parashikimeve të Kodit Penal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”. 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I njëjti ligj, në nenin 162, pika 1, parashikonte se gjyqtarët e Gjykatës për Krime të Rënda, ku shërbente si gjyqtare 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znj. 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Irena Gjoka, do të vazhdonin të qëndronin në detyrë si pjesë e gjykatës 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>së posacme</w:t>
      </w:r>
      <w:r w:rsidR="005066E6" w:rsidRPr="00E15E70">
        <w:rPr>
          <w:rFonts w:ascii="Times New Roman" w:hAnsi="Times New Roman" w:cs="Times New Roman"/>
          <w:sz w:val="24"/>
          <w:szCs w:val="24"/>
          <w:lang w:val="sq-AL"/>
        </w:rPr>
        <w:t>, përveç rasteve kur ekzistonin shkaqe për përfundimin e statusit të magjistratit.</w:t>
      </w:r>
    </w:p>
    <w:p w:rsidR="005066E6" w:rsidRPr="00E15E70" w:rsidRDefault="005066E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5066E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Gjithashtu, edhe ligji nr. 138/2015 dhe vendimi i Kuvendit nr. 17/2016, sanksion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jnë qartësisht se: “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Pasqyrimi i të dhënave të rreme në këtë Formular përbën vepër penale dhe dënohet me burgim sipas nenit 190 të Kodit Penal.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Pasqyrimi i të dhënave të pavërteta, të paplota, dhe të pasakta në këtë Formular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refuzimi i depozitimit të gjurmëve daktiloskopike,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passjell skualifikimin e menjëhershëm dhe në çdo kohë nga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kandidimi/zgjedhja/emërimi apo </w:t>
      </w:r>
      <w:r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>ushtrimi i mëtejshëm i funksionit publik</w:t>
      </w:r>
      <w:r w:rsidRPr="00E15E70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:rsidR="005066E6" w:rsidRPr="00E15E70" w:rsidRDefault="005066E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259E4" w:rsidRPr="00E15E70" w:rsidRDefault="005066E6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Bazuar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dispozitat kushtetutese dhe ligjore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sip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rcituara, si dhe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konfirmimin e b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zyrtarisht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nga Prokurori i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m, mbi faktin se gjyqtarja e posacme znj. Irena Gjoka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rezulton e 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nuar me vendim gjyq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sor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prer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r kryerjen e nj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vepre penale, fakt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cilin ajo e ka mbajtur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fshehur dhe nuk e ka deklaruar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disa dokumente zyrtare, sic e kishte detyrim, e vendos at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jo vet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m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rpara kryerjes s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vepr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 penale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parshikuar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nenin 190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Kodit Penal, por mbi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 gjitha në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pamund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kushtetutese dhe ligjore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ushtruar funksionin kushtetutes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gjyqtarit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</w:p>
    <w:p w:rsidR="006259E4" w:rsidRPr="00E15E70" w:rsidRDefault="006259E4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066E6" w:rsidRPr="00E15E70" w:rsidRDefault="00EE6B9C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sisht, ajo ndodhet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kushtet kushtetuese dhe ligjore ku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Këshill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deklaroj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me vendim mbarimin e statusit të magjistratit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apo kur Inspektori i Lartë i Drejtësisë duhet të kërkojë shkarkimin nga detyra për “sjellje që diskretitojnë rëndë figurën e gjyqtarit”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. Ky konstatim duhet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kishte ndodhur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jo më vonë se 2 javë nga marrja e njoftimit për shkakun e pazgjedhshmërisë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/papajtueshmërisë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por deri m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tani K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shilli i Lart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sor dhe Inspektori i Lart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i Drejt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nuk kan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vepruar, edhe pse Prokurori i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m prej muajsh publikisht dhe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seancat 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gjimore 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Kuvendin e Shqip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ka informuar se fakti i 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nimit ishte konfirmuar nga autoritetet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se greke. </w:t>
      </w:r>
    </w:p>
    <w:p w:rsidR="00EE6B9C" w:rsidRPr="00E15E70" w:rsidRDefault="00EE6B9C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6B9C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Në këtë kuptim, në emër të deputetëve të opozitës në Kuvendin e Shqipërisë, shprehim shqetësimin e thellë, për mosveprimin në kohë të 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shilli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sor dhe Inspektori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Lart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, që po sjell pasoja të rënda dhe të parikuperueshme në sistemin gjyqësor. Cenimi i parimit të “gjykatës së caktuar me ligj”, është shkak i mjaftueshëm kushtetues për të c</w:t>
      </w:r>
      <w:r w:rsidR="00EE6B9C" w:rsidRPr="00E15E7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nuar çdo vendimmarrje të saj si gjyqtare në Gjykatën e Posaçme të Shkallës së Parë kundër Korrupsionit dhe Krimin e Organizuar. </w:t>
      </w:r>
    </w:p>
    <w:p w:rsidR="00EE6B9C" w:rsidRPr="00E15E70" w:rsidRDefault="00EE6B9C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6B9C" w:rsidRPr="00E15E70" w:rsidRDefault="00EE6B9C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lastRenderedPageBreak/>
        <w:t>Nd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tjera, k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jo ka pasoja të rënda për vetë sistemin e drejtësisë, për vetë punën e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Gjykat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së Posaçme, por mund të shkaktojë edhe pasoja të rënda financiare për shtetin shqiptar. Ky rast cenon edhe besimin e publikut tek sistemi i drejtësisë dhe krijon pasiguri mbi vendimmarrjet e sistemit gjyqësor, duke cenuar integritetin e të gjithë sistemit.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gjyqtar i Republik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s, q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rezulton i 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nuar dhe q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rpiqet ta fsheh, duke mos e deklaruar k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nim, 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>simin ton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kryen edhe nj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sjellje që diskrediton pozitën dhe figurën e magjistratit dhe dëmton besimin e publikut në sistemin gjyqësor. 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259E4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këtë arsye, duke respektuar parimin e pavarësisë së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institucioneve kushtetuese të drejtësisë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duke shmangur çdo ndërhyrje në punën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Tuaj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ne deputetët e opozitës në Kuvend, në përputhje me parimin e ndarjes dhe të balancimit të pushteteve, parimit të shtetit ligjor,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kontrollit kushtetutes mbi zbatimin e ligjit, si 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të përgjegjësisë sonë si deputetë për të mbrojtur interesin e shtetit shqiptar, kushtetutshmërinë dhe ligjshmërisë në sistemin gjyqësor, kërkojmë nga ana e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Këshillit të Lartë Gjyq</w:t>
      </w:r>
      <w:r w:rsidR="0081723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sor dhe Inspektorit të Lartë të Drejtësisë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që të veproj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ë në kohë,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menjëherë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për të zbatuar detyrimin kushtetues dhe ligjor, të konstatimit të mbarimit të statusit të magjistratit për gjyqtaren e posacme znj. Irena Gjoka</w:t>
      </w: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Për më tepër, pas përfundimit administrativ të Prokurorit të Përgjithshëm dhe njoftimit të rezultateve Këshillit të Lartë Gjyqësor, ky i fundit sipas nenin 66 të ligjit nr. 96/2026, duhet të deklarojë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vendim mbarimin e statusit të magjistratit, jo më vonë se 2 javë nga marrja e njoftimit</w:t>
      </w:r>
      <w:r w:rsidR="006259E4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për shkakun e</w:t>
      </w:r>
      <w:r w:rsidR="006259E4" w:rsidRPr="00E15E7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>pazgjedhshmërisë</w:t>
      </w:r>
      <w:r w:rsidR="006259E4" w:rsidRPr="00E15E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papajtueshmërisë.</w:t>
      </w:r>
    </w:p>
    <w:p w:rsidR="006259E4" w:rsidRPr="00E15E70" w:rsidRDefault="006259E4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6259E4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Përsa më lart, ç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>do vonesë nga ana juaj shkakon pasoja të rënda për interesin publik, për vetë sistemin e drejtësisë</w:t>
      </w:r>
      <w:r w:rsidR="00817237">
        <w:rPr>
          <w:rFonts w:ascii="Times New Roman" w:hAnsi="Times New Roman" w:cs="Times New Roman"/>
          <w:sz w:val="24"/>
          <w:szCs w:val="24"/>
          <w:lang w:val="sq-AL"/>
        </w:rPr>
        <w:t>, besimin e qytetrëve tek institucionet e pavarur të drejtësisë</w:t>
      </w:r>
      <w:r w:rsidR="000C4335"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 dhe për interesat financiare të shtetit shqiptar.  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 xml:space="preserve">Me respekt, </w:t>
      </w:r>
    </w:p>
    <w:p w:rsidR="000C4335" w:rsidRPr="00E15E70" w:rsidRDefault="000C4335" w:rsidP="00817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GAZMENT BARDHI</w:t>
      </w: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</w:t>
      </w: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KRYETAR</w:t>
      </w:r>
    </w:p>
    <w:p w:rsidR="000C4335" w:rsidRPr="00E15E70" w:rsidRDefault="000C4335" w:rsidP="00817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E15E70">
        <w:rPr>
          <w:rFonts w:ascii="Times New Roman" w:hAnsi="Times New Roman" w:cs="Times New Roman"/>
          <w:sz w:val="24"/>
          <w:szCs w:val="24"/>
          <w:lang w:val="sq-AL"/>
        </w:rPr>
        <w:t>GRUPI PARLAMENTAR I PARTISË DEMOKRATIKE</w:t>
      </w:r>
    </w:p>
    <w:p w:rsidR="00AD1304" w:rsidRPr="00E15E70" w:rsidRDefault="00AD1304" w:rsidP="0081723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D1304" w:rsidRPr="00E15E70" w:rsidSect="00586D9A">
      <w:footerReference w:type="default" r:id="rId9"/>
      <w:pgSz w:w="12240" w:h="15840"/>
      <w:pgMar w:top="1008" w:right="1152" w:bottom="81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62" w:rsidRDefault="00720762" w:rsidP="000C4335">
      <w:pPr>
        <w:spacing w:after="0" w:line="240" w:lineRule="auto"/>
      </w:pPr>
      <w:r>
        <w:separator/>
      </w:r>
    </w:p>
  </w:endnote>
  <w:endnote w:type="continuationSeparator" w:id="0">
    <w:p w:rsidR="00720762" w:rsidRDefault="00720762" w:rsidP="000C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554"/>
      <w:gridCol w:w="382"/>
    </w:tblGrid>
    <w:tr w:rsidR="00FC3F2D" w:rsidTr="00FC3F2D">
      <w:trPr>
        <w:trHeight w:hRule="exact" w:val="115"/>
        <w:jc w:val="center"/>
      </w:trPr>
      <w:tc>
        <w:tcPr>
          <w:tcW w:w="9000" w:type="dxa"/>
          <w:shd w:val="clear" w:color="auto" w:fill="5B9BD5" w:themeFill="accent1"/>
          <w:tcMar>
            <w:top w:w="0" w:type="dxa"/>
            <w:bottom w:w="0" w:type="dxa"/>
          </w:tcMar>
        </w:tcPr>
        <w:p w:rsidR="00FC3F2D" w:rsidRDefault="00720762" w:rsidP="00FC3F2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360" w:type="dxa"/>
          <w:shd w:val="clear" w:color="auto" w:fill="5B9BD5" w:themeFill="accent1"/>
          <w:tcMar>
            <w:top w:w="0" w:type="dxa"/>
            <w:bottom w:w="0" w:type="dxa"/>
          </w:tcMar>
        </w:tcPr>
        <w:p w:rsidR="00FC3F2D" w:rsidRDefault="00720762" w:rsidP="00FC3F2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C3F2D" w:rsidTr="00FC3F2D">
      <w:trPr>
        <w:jc w:val="center"/>
      </w:trPr>
      <w:sdt>
        <w:sdtPr>
          <w:rPr>
            <w:b/>
            <w:caps/>
            <w:color w:val="4472C4" w:themeColor="accent5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00" w:type="dxa"/>
              <w:shd w:val="clear" w:color="auto" w:fill="auto"/>
              <w:vAlign w:val="center"/>
            </w:tcPr>
            <w:p w:rsidR="00FC3F2D" w:rsidRPr="00CE4BDE" w:rsidRDefault="000C4335" w:rsidP="00B4278A">
              <w:pPr>
                <w:pStyle w:val="Footer"/>
                <w:tabs>
                  <w:tab w:val="clear" w:pos="4680"/>
                  <w:tab w:val="clear" w:pos="9360"/>
                </w:tabs>
                <w:rPr>
                  <w:b/>
                  <w:caps/>
                  <w:color w:val="4472C4" w:themeColor="accent5"/>
                  <w:sz w:val="18"/>
                  <w:szCs w:val="18"/>
                </w:rPr>
              </w:pPr>
              <w:r w:rsidRPr="007631F4">
                <w:rPr>
                  <w:b/>
                  <w:caps/>
                  <w:color w:val="4472C4" w:themeColor="accent5"/>
                  <w:sz w:val="18"/>
                  <w:szCs w:val="18"/>
                </w:rPr>
                <w:t>GRUPI PARLAMENTAR I PARTISË DEMOKRATIKE – KUVENDI I SHQIPËRISË</w:t>
              </w:r>
            </w:p>
          </w:tc>
        </w:sdtContent>
      </w:sdt>
      <w:tc>
        <w:tcPr>
          <w:tcW w:w="360" w:type="dxa"/>
          <w:shd w:val="clear" w:color="auto" w:fill="auto"/>
          <w:vAlign w:val="center"/>
        </w:tcPr>
        <w:p w:rsidR="00FC3F2D" w:rsidRDefault="00720762" w:rsidP="00FC3F2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FC3F2D" w:rsidRPr="00FF7DFD" w:rsidRDefault="00720762" w:rsidP="00FC3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62" w:rsidRDefault="00720762" w:rsidP="000C4335">
      <w:pPr>
        <w:spacing w:after="0" w:line="240" w:lineRule="auto"/>
      </w:pPr>
      <w:r>
        <w:separator/>
      </w:r>
    </w:p>
  </w:footnote>
  <w:footnote w:type="continuationSeparator" w:id="0">
    <w:p w:rsidR="00720762" w:rsidRDefault="00720762" w:rsidP="000C4335">
      <w:pPr>
        <w:spacing w:after="0" w:line="240" w:lineRule="auto"/>
      </w:pPr>
      <w:r>
        <w:continuationSeparator/>
      </w:r>
    </w:p>
  </w:footnote>
  <w:footnote w:id="1">
    <w:p w:rsidR="000C4335" w:rsidRPr="005F0A22" w:rsidRDefault="000C4335" w:rsidP="000C4335">
      <w:pPr>
        <w:pStyle w:val="FootnoteText"/>
        <w:rPr>
          <w:rFonts w:ascii="Times New Roman" w:hAnsi="Times New Roman" w:cs="Times New Roman"/>
          <w:lang w:val="sq-AL"/>
        </w:rPr>
      </w:pPr>
      <w:r w:rsidRPr="005F0A22">
        <w:rPr>
          <w:rStyle w:val="FootnoteReference"/>
          <w:rFonts w:ascii="Times New Roman" w:hAnsi="Times New Roman" w:cs="Times New Roman"/>
          <w:lang w:val="sq-AL"/>
        </w:rPr>
        <w:footnoteRef/>
      </w:r>
      <w:r w:rsidRPr="005F0A22">
        <w:rPr>
          <w:rFonts w:ascii="Times New Roman" w:hAnsi="Times New Roman" w:cs="Times New Roman"/>
          <w:lang w:val="sq-AL"/>
        </w:rPr>
        <w:t xml:space="preserve"> Greek newspaper Proto Thema, date 4-5 May 2024, page 1, page 16.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36D"/>
    <w:multiLevelType w:val="hybridMultilevel"/>
    <w:tmpl w:val="FB301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35"/>
    <w:rsid w:val="000C4335"/>
    <w:rsid w:val="00426DF6"/>
    <w:rsid w:val="005066E6"/>
    <w:rsid w:val="006259E4"/>
    <w:rsid w:val="00720762"/>
    <w:rsid w:val="007D4BDB"/>
    <w:rsid w:val="00817237"/>
    <w:rsid w:val="008A6A67"/>
    <w:rsid w:val="00AD1304"/>
    <w:rsid w:val="00B22909"/>
    <w:rsid w:val="00E15E70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2B1B"/>
  <w15:chartTrackingRefBased/>
  <w15:docId w15:val="{C96AA289-311E-463D-A04F-6F700C1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3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35"/>
  </w:style>
  <w:style w:type="paragraph" w:styleId="Footer">
    <w:name w:val="footer"/>
    <w:basedOn w:val="Normal"/>
    <w:link w:val="FooterChar"/>
    <w:uiPriority w:val="99"/>
    <w:unhideWhenUsed/>
    <w:rsid w:val="000C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35"/>
  </w:style>
  <w:style w:type="paragraph" w:styleId="NormalWeb">
    <w:name w:val="Normal (Web)"/>
    <w:basedOn w:val="Normal"/>
    <w:uiPriority w:val="99"/>
    <w:semiHidden/>
    <w:unhideWhenUsed/>
    <w:rsid w:val="000C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3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3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4C35-8A80-4E7E-B51E-5711061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GRUPI PARLAMENTAR I PARTISË DEMOKRATIKE – KUVENDI I SHQIPËRISË</dc:creator>
  <cp:keywords/>
  <dc:description/>
  <cp:lastModifiedBy>Admin</cp:lastModifiedBy>
  <cp:revision>3</cp:revision>
  <dcterms:created xsi:type="dcterms:W3CDTF">2026-01-20T17:45:00Z</dcterms:created>
  <dcterms:modified xsi:type="dcterms:W3CDTF">2026-01-20T17:51:00Z</dcterms:modified>
</cp:coreProperties>
</file>